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6678F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501FD7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16678F" w:rsidRDefault="006544C4" w:rsidP="00907825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501FD7" w:rsidP="00907825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29797/09</w:t>
      </w:r>
      <w:r w:rsidR="006544C4" w:rsidRPr="0016678F">
        <w:rPr>
          <w:lang w:val="fr-FR"/>
        </w:rPr>
        <w:br/>
      </w:r>
      <w:r>
        <w:rPr>
          <w:lang w:val="fr-FR"/>
        </w:rPr>
        <w:t>Anna Maria</w:t>
      </w:r>
      <w:r w:rsidRPr="0016678F">
        <w:rPr>
          <w:lang w:val="fr-FR"/>
        </w:rPr>
        <w:t xml:space="preserve"> </w:t>
      </w:r>
      <w:r>
        <w:rPr>
          <w:lang w:val="fr-FR"/>
        </w:rPr>
        <w:t>CACUCCI</w:t>
      </w:r>
      <w:r w:rsidRPr="0016678F">
        <w:rPr>
          <w:lang w:val="fr-FR"/>
        </w:rPr>
        <w:t xml:space="preserve"> et </w:t>
      </w:r>
      <w:proofErr w:type="spellStart"/>
      <w:r>
        <w:rPr>
          <w:lang w:val="fr-FR"/>
        </w:rPr>
        <w:t>Vincenza</w:t>
      </w:r>
      <w:proofErr w:type="spellEnd"/>
      <w:r w:rsidRPr="0016678F">
        <w:rPr>
          <w:lang w:val="fr-FR"/>
        </w:rPr>
        <w:t xml:space="preserve"> </w:t>
      </w:r>
      <w:r>
        <w:rPr>
          <w:lang w:val="fr-FR"/>
        </w:rPr>
        <w:t>SABATELLI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9A4206">
        <w:rPr>
          <w:lang w:val="fr-FR"/>
        </w:rPr>
        <w:t>l</w:t>
      </w:r>
      <w:r w:rsidR="00ED21B9">
        <w:rPr>
          <w:lang w:val="fr-FR"/>
        </w:rPr>
        <w:t>’</w:t>
      </w:r>
      <w:r w:rsidRPr="009A4206">
        <w:rPr>
          <w:lang w:val="fr-FR"/>
        </w:rPr>
        <w:t>Italie</w:t>
      </w:r>
    </w:p>
    <w:p w:rsidR="00501FD7" w:rsidRPr="00207EFE" w:rsidRDefault="00501FD7" w:rsidP="00D36914">
      <w:pPr>
        <w:pStyle w:val="ECHRPara"/>
        <w:rPr>
          <w:lang w:val="fr-FR"/>
        </w:rPr>
      </w:pPr>
      <w:r w:rsidRPr="00207EFE">
        <w:rPr>
          <w:lang w:val="fr-FR"/>
        </w:rPr>
        <w:t>La Cour européenne des droits de l</w:t>
      </w:r>
      <w:r w:rsidR="00ED21B9">
        <w:rPr>
          <w:lang w:val="fr-FR"/>
        </w:rPr>
        <w:t>’</w:t>
      </w:r>
      <w:r w:rsidRPr="00207EFE">
        <w:rPr>
          <w:lang w:val="fr-FR"/>
        </w:rPr>
        <w:t>homme (</w:t>
      </w:r>
      <w:r>
        <w:rPr>
          <w:lang w:val="fr-FR"/>
        </w:rPr>
        <w:t>quatrième section</w:t>
      </w:r>
      <w:r w:rsidRPr="00207EFE">
        <w:rPr>
          <w:lang w:val="fr-FR"/>
        </w:rPr>
        <w:t xml:space="preserve">), siégeant le </w:t>
      </w:r>
      <w:r w:rsidR="006078D3">
        <w:rPr>
          <w:lang w:val="fr-FR"/>
        </w:rPr>
        <w:t>25 août 2015</w:t>
      </w:r>
      <w:r w:rsidRPr="00207EFE">
        <w:rPr>
          <w:lang w:val="fr-FR"/>
        </w:rPr>
        <w:t xml:space="preserve"> en un comité composé de :</w:t>
      </w:r>
    </w:p>
    <w:p w:rsidR="00501FD7" w:rsidRPr="009A4206" w:rsidRDefault="006078D3" w:rsidP="00D36914">
      <w:pPr>
        <w:pStyle w:val="ECHRDecisionBody"/>
        <w:rPr>
          <w:lang w:val="fr-FR"/>
        </w:rPr>
      </w:pPr>
      <w:r w:rsidRPr="006078D3">
        <w:rPr>
          <w:lang w:val="fr-FR"/>
        </w:rPr>
        <w:tab/>
      </w:r>
      <w:r w:rsidRPr="009A4206">
        <w:rPr>
          <w:lang w:val="fr-FR"/>
        </w:rPr>
        <w:t>Ledi Bianku,</w:t>
      </w:r>
      <w:r w:rsidRPr="009A4206">
        <w:rPr>
          <w:i/>
          <w:lang w:val="fr-FR"/>
        </w:rPr>
        <w:t xml:space="preserve"> président,</w:t>
      </w:r>
      <w:r w:rsidRPr="009A4206">
        <w:rPr>
          <w:i/>
          <w:lang w:val="fr-FR"/>
        </w:rPr>
        <w:br/>
      </w:r>
      <w:r w:rsidRPr="009A4206">
        <w:rPr>
          <w:lang w:val="fr-FR"/>
        </w:rPr>
        <w:tab/>
        <w:t>Paul Mahoney,</w:t>
      </w:r>
      <w:r w:rsidRPr="009A4206">
        <w:rPr>
          <w:i/>
          <w:lang w:val="fr-FR"/>
        </w:rPr>
        <w:br/>
      </w:r>
      <w:r w:rsidRPr="009A4206">
        <w:rPr>
          <w:lang w:val="fr-FR"/>
        </w:rPr>
        <w:tab/>
        <w:t>Krzysztof Wojtyczek,</w:t>
      </w:r>
      <w:r w:rsidRPr="009A4206">
        <w:rPr>
          <w:i/>
          <w:lang w:val="fr-FR"/>
        </w:rPr>
        <w:t xml:space="preserve"> juges,</w:t>
      </w:r>
    </w:p>
    <w:p w:rsidR="00501FD7" w:rsidRPr="00207EFE" w:rsidRDefault="00501FD7" w:rsidP="00D36914">
      <w:pPr>
        <w:pStyle w:val="ECHRDecisionBody"/>
        <w:rPr>
          <w:lang w:val="fr-FR"/>
        </w:rPr>
      </w:pPr>
      <w:proofErr w:type="gramStart"/>
      <w:r w:rsidRPr="00207EFE">
        <w:rPr>
          <w:lang w:val="fr-FR"/>
        </w:rPr>
        <w:t>et</w:t>
      </w:r>
      <w:proofErr w:type="gramEnd"/>
      <w:r w:rsidRPr="00207EFE">
        <w:rPr>
          <w:lang w:val="fr-FR"/>
        </w:rPr>
        <w:t xml:space="preserve"> de </w:t>
      </w:r>
      <w:proofErr w:type="spellStart"/>
      <w:r>
        <w:rPr>
          <w:lang w:val="fr-FR"/>
        </w:rPr>
        <w:t>Fatoş</w:t>
      </w:r>
      <w:proofErr w:type="spellEnd"/>
      <w:r w:rsidRPr="00207EFE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207EFE">
        <w:rPr>
          <w:lang w:val="fr-FR"/>
        </w:rPr>
        <w:t xml:space="preserve">, </w:t>
      </w:r>
      <w:r w:rsidRPr="00207EFE">
        <w:rPr>
          <w:i/>
          <w:lang w:val="fr-FR"/>
        </w:rPr>
        <w:t>greffière adjointe</w:t>
      </w:r>
      <w:r w:rsidRPr="00207EFE">
        <w:rPr>
          <w:lang w:val="fr-FR"/>
        </w:rPr>
        <w:t xml:space="preserve"> </w:t>
      </w:r>
      <w:r w:rsidRPr="00207EFE">
        <w:rPr>
          <w:i/>
          <w:lang w:val="fr-FR"/>
        </w:rPr>
        <w:t>de section,</w:t>
      </w:r>
    </w:p>
    <w:p w:rsidR="00501FD7" w:rsidRDefault="00501FD7" w:rsidP="00D36914">
      <w:pPr>
        <w:pStyle w:val="ECHRPara"/>
        <w:rPr>
          <w:lang w:val="fr-FR"/>
        </w:rPr>
      </w:pPr>
      <w:r w:rsidRPr="00207EFE">
        <w:rPr>
          <w:lang w:val="fr-FR"/>
        </w:rPr>
        <w:t xml:space="preserve">Vu la requête susmentionnée introduite le </w:t>
      </w:r>
      <w:r>
        <w:rPr>
          <w:lang w:val="fr-FR"/>
        </w:rPr>
        <w:t>3 juin 2009</w:t>
      </w:r>
      <w:r w:rsidRPr="00207EFE">
        <w:rPr>
          <w:lang w:val="fr-FR"/>
        </w:rPr>
        <w:t>,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Vu la décision du 17 juin 2014,</w:t>
      </w:r>
    </w:p>
    <w:p w:rsidR="00501FD7" w:rsidRPr="00207EFE" w:rsidRDefault="00501FD7" w:rsidP="00D36914">
      <w:pPr>
        <w:pStyle w:val="ECHRPara"/>
        <w:rPr>
          <w:lang w:val="fr-FR"/>
        </w:rPr>
      </w:pPr>
      <w:r w:rsidRPr="00207EFE">
        <w:rPr>
          <w:lang w:val="fr-FR"/>
        </w:rPr>
        <w:t xml:space="preserve">Vu la déclaration déposée par le gouvernement défendeur le </w:t>
      </w:r>
      <w:r>
        <w:rPr>
          <w:lang w:val="fr-FR"/>
        </w:rPr>
        <w:t>15 janvier 2015</w:t>
      </w:r>
      <w:r w:rsidRPr="00207EFE">
        <w:rPr>
          <w:lang w:val="fr-FR"/>
        </w:rPr>
        <w:t xml:space="preserve"> et invitant la Cour à rayer la requête du rôle ;</w:t>
      </w:r>
    </w:p>
    <w:p w:rsidR="00501FD7" w:rsidRPr="00207EFE" w:rsidRDefault="00501FD7" w:rsidP="00D36914">
      <w:pPr>
        <w:pStyle w:val="ECHRPara"/>
        <w:rPr>
          <w:lang w:val="fr-FR"/>
        </w:rPr>
      </w:pPr>
      <w:r w:rsidRPr="00207EFE">
        <w:rPr>
          <w:lang w:val="fr-FR"/>
        </w:rPr>
        <w:t>Après en avoir délibéré, rend la décision suivante :</w:t>
      </w:r>
    </w:p>
    <w:p w:rsidR="00501FD7" w:rsidRPr="00207EFE" w:rsidRDefault="00501FD7" w:rsidP="00D36914">
      <w:pPr>
        <w:pStyle w:val="ECHRTitle1"/>
        <w:rPr>
          <w:lang w:val="fr-FR"/>
        </w:rPr>
      </w:pPr>
      <w:r w:rsidRPr="00207EFE">
        <w:rPr>
          <w:lang w:val="fr-FR"/>
        </w:rPr>
        <w:t>FAITS ET PROCÉDURE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1.  </w:t>
      </w:r>
      <w:r w:rsidRPr="00207EFE">
        <w:rPr>
          <w:lang w:val="fr-FR"/>
        </w:rPr>
        <w:t>Les requérantes, M</w:t>
      </w:r>
      <w:r w:rsidRPr="00207EFE">
        <w:rPr>
          <w:vertAlign w:val="superscript"/>
          <w:lang w:val="fr-FR"/>
        </w:rPr>
        <w:t>me</w:t>
      </w:r>
      <w:r w:rsidRPr="00207EFE">
        <w:rPr>
          <w:lang w:val="fr-FR"/>
        </w:rPr>
        <w:t xml:space="preserve"> </w:t>
      </w:r>
      <w:r>
        <w:rPr>
          <w:lang w:val="fr-FR"/>
        </w:rPr>
        <w:t>Anna Maria</w:t>
      </w:r>
      <w:r w:rsidRPr="00207EFE">
        <w:rPr>
          <w:lang w:val="fr-FR"/>
        </w:rPr>
        <w:t xml:space="preserve"> </w:t>
      </w:r>
      <w:proofErr w:type="spellStart"/>
      <w:r>
        <w:rPr>
          <w:lang w:val="fr-FR"/>
        </w:rPr>
        <w:t>Cacucci</w:t>
      </w:r>
      <w:proofErr w:type="spellEnd"/>
      <w:r w:rsidRPr="00207EFE">
        <w:rPr>
          <w:lang w:val="fr-FR"/>
        </w:rPr>
        <w:t xml:space="preserve"> et M</w:t>
      </w:r>
      <w:r w:rsidRPr="00207EFE">
        <w:rPr>
          <w:vertAlign w:val="superscript"/>
          <w:lang w:val="fr-FR"/>
        </w:rPr>
        <w:t>me</w:t>
      </w:r>
      <w:r w:rsidRPr="00207EFE">
        <w:rPr>
          <w:lang w:val="fr-FR"/>
        </w:rPr>
        <w:t xml:space="preserve"> </w:t>
      </w:r>
      <w:proofErr w:type="spellStart"/>
      <w:r>
        <w:rPr>
          <w:lang w:val="fr-FR"/>
        </w:rPr>
        <w:t>Vincenza</w:t>
      </w:r>
      <w:proofErr w:type="spellEnd"/>
      <w:r w:rsidRPr="00207EFE">
        <w:rPr>
          <w:lang w:val="fr-FR"/>
        </w:rPr>
        <w:t xml:space="preserve"> </w:t>
      </w:r>
      <w:proofErr w:type="spellStart"/>
      <w:r>
        <w:rPr>
          <w:lang w:val="fr-FR"/>
        </w:rPr>
        <w:t>Sabatelli</w:t>
      </w:r>
      <w:proofErr w:type="spellEnd"/>
      <w:r w:rsidRPr="00207EFE">
        <w:rPr>
          <w:lang w:val="fr-FR"/>
        </w:rPr>
        <w:t xml:space="preserve">, sont des ressortissantes </w:t>
      </w:r>
      <w:r>
        <w:rPr>
          <w:lang w:val="fr-FR"/>
        </w:rPr>
        <w:t xml:space="preserve">italiennes </w:t>
      </w:r>
      <w:r w:rsidRPr="00207EFE">
        <w:rPr>
          <w:lang w:val="fr-FR"/>
        </w:rPr>
        <w:t xml:space="preserve">nées respectivement en </w:t>
      </w:r>
      <w:r>
        <w:rPr>
          <w:lang w:val="fr-FR"/>
        </w:rPr>
        <w:t>1954</w:t>
      </w:r>
      <w:r w:rsidRPr="00207EFE">
        <w:rPr>
          <w:lang w:val="fr-FR"/>
        </w:rPr>
        <w:t xml:space="preserve"> et en </w:t>
      </w:r>
      <w:r>
        <w:rPr>
          <w:lang w:val="fr-FR"/>
        </w:rPr>
        <w:t>1976</w:t>
      </w:r>
      <w:r w:rsidRPr="00207EFE">
        <w:rPr>
          <w:lang w:val="fr-FR"/>
        </w:rPr>
        <w:t xml:space="preserve"> et résidant à </w:t>
      </w:r>
      <w:proofErr w:type="spellStart"/>
      <w:r>
        <w:rPr>
          <w:lang w:val="fr-FR"/>
        </w:rPr>
        <w:t>Fasano</w:t>
      </w:r>
      <w:proofErr w:type="spellEnd"/>
      <w:r>
        <w:rPr>
          <w:lang w:val="fr-FR"/>
        </w:rPr>
        <w:t xml:space="preserve"> (Brindisi)</w:t>
      </w:r>
      <w:r w:rsidRPr="00207EFE">
        <w:rPr>
          <w:lang w:val="fr-FR"/>
        </w:rPr>
        <w:t>. Elles ont été représentées devant la Cour par M</w:t>
      </w:r>
      <w:r w:rsidRPr="00207EFE">
        <w:rPr>
          <w:vertAlign w:val="superscript"/>
          <w:lang w:val="fr-FR"/>
        </w:rPr>
        <w:t>e</w:t>
      </w:r>
      <w:r w:rsidRPr="00207EFE">
        <w:rPr>
          <w:lang w:val="fr-FR"/>
        </w:rPr>
        <w:t> </w:t>
      </w:r>
      <w:r>
        <w:rPr>
          <w:lang w:val="fr-FR"/>
        </w:rPr>
        <w:t>C.</w:t>
      </w:r>
      <w:r w:rsidRPr="00207EFE">
        <w:rPr>
          <w:lang w:val="fr-FR"/>
        </w:rPr>
        <w:t xml:space="preserve"> </w:t>
      </w:r>
      <w:proofErr w:type="spellStart"/>
      <w:r>
        <w:rPr>
          <w:lang w:val="fr-FR"/>
        </w:rPr>
        <w:t>Carrieri</w:t>
      </w:r>
      <w:proofErr w:type="spellEnd"/>
      <w:r w:rsidRPr="00207EFE">
        <w:rPr>
          <w:lang w:val="fr-FR"/>
        </w:rPr>
        <w:t xml:space="preserve">, avocat à </w:t>
      </w:r>
      <w:r>
        <w:rPr>
          <w:lang w:val="fr-FR"/>
        </w:rPr>
        <w:t>Bari</w:t>
      </w:r>
      <w:r w:rsidRPr="00207EFE">
        <w:rPr>
          <w:lang w:val="fr-FR"/>
        </w:rPr>
        <w:t>.</w:t>
      </w:r>
    </w:p>
    <w:p w:rsidR="00501FD7" w:rsidRDefault="00501FD7" w:rsidP="00D36914">
      <w:pPr>
        <w:pStyle w:val="ECHRPara"/>
        <w:rPr>
          <w:lang w:val="fr-FR"/>
        </w:rPr>
      </w:pPr>
      <w:r>
        <w:rPr>
          <w:lang w:val="fr-FR"/>
        </w:rPr>
        <w:t>2.  </w:t>
      </w:r>
      <w:r w:rsidRPr="00207EFE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207EFE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 w:rsidRPr="00ED5A06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>
        <w:rPr>
          <w:lang w:val="fr-FR"/>
        </w:rPr>
        <w:t xml:space="preserve">, et par son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-agent, M. G.M. </w:t>
      </w:r>
      <w:proofErr w:type="spellStart"/>
      <w:r>
        <w:rPr>
          <w:lang w:val="fr-FR"/>
        </w:rPr>
        <w:t>Pellegrini</w:t>
      </w:r>
      <w:proofErr w:type="spellEnd"/>
      <w:r w:rsidRPr="00207EFE">
        <w:rPr>
          <w:lang w:val="fr-FR"/>
        </w:rPr>
        <w:t>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3.  </w:t>
      </w:r>
      <w:r w:rsidRPr="00207EFE">
        <w:rPr>
          <w:lang w:val="fr-FR"/>
        </w:rPr>
        <w:t>Invoquant l</w:t>
      </w:r>
      <w:r w:rsidR="00ED21B9">
        <w:rPr>
          <w:lang w:val="fr-FR"/>
        </w:rPr>
        <w:t>’</w:t>
      </w:r>
      <w:r w:rsidRPr="00207EFE">
        <w:rPr>
          <w:lang w:val="fr-FR"/>
        </w:rPr>
        <w:t xml:space="preserve">article </w:t>
      </w:r>
      <w:r>
        <w:rPr>
          <w:lang w:val="fr-FR"/>
        </w:rPr>
        <w:t>6 § 1</w:t>
      </w:r>
      <w:r w:rsidRPr="00207EFE">
        <w:rPr>
          <w:lang w:val="fr-FR"/>
        </w:rPr>
        <w:t xml:space="preserve"> de la Convention, les requérantes se plaignaient </w:t>
      </w:r>
      <w:r>
        <w:rPr>
          <w:lang w:val="fr-FR"/>
        </w:rPr>
        <w:t xml:space="preserve">en particulier </w:t>
      </w:r>
      <w:r w:rsidRPr="00207EFE">
        <w:rPr>
          <w:lang w:val="fr-FR"/>
        </w:rPr>
        <w:t>d</w:t>
      </w:r>
      <w:r>
        <w:rPr>
          <w:lang w:val="fr-FR"/>
        </w:rPr>
        <w:t>u fait que les audiences d</w:t>
      </w:r>
      <w:r w:rsidR="00ED21B9">
        <w:rPr>
          <w:lang w:val="fr-FR"/>
        </w:rPr>
        <w:t>’</w:t>
      </w:r>
      <w:r>
        <w:rPr>
          <w:lang w:val="fr-FR"/>
        </w:rPr>
        <w:t>une procédure pour l</w:t>
      </w:r>
      <w:r w:rsidR="00ED21B9">
        <w:rPr>
          <w:lang w:val="fr-FR"/>
        </w:rPr>
        <w:t>’</w:t>
      </w:r>
      <w:r>
        <w:rPr>
          <w:lang w:val="fr-FR"/>
        </w:rPr>
        <w:t>application des mesures de prévention à laquelle elles étaient parties avaient eu lieu en chambre du conseil.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4.  </w:t>
      </w:r>
      <w:r w:rsidRPr="00207EFE">
        <w:rPr>
          <w:lang w:val="fr-FR"/>
        </w:rPr>
        <w:t>L</w:t>
      </w:r>
      <w:r>
        <w:rPr>
          <w:lang w:val="fr-FR"/>
        </w:rPr>
        <w:t>e 17 juin 2014, ce grief a</w:t>
      </w:r>
      <w:r w:rsidRPr="00207EFE">
        <w:rPr>
          <w:bCs/>
          <w:szCs w:val="24"/>
          <w:lang w:val="fr-FR" w:eastAsia="en-GB"/>
        </w:rPr>
        <w:t xml:space="preserve"> été communiqué</w:t>
      </w:r>
      <w:r w:rsidRPr="00207EFE">
        <w:rPr>
          <w:lang w:val="fr-FR"/>
        </w:rPr>
        <w:t xml:space="preserve"> </w:t>
      </w:r>
      <w:r w:rsidRPr="00207EFE">
        <w:rPr>
          <w:szCs w:val="24"/>
          <w:lang w:val="fr-FR" w:eastAsia="en-GB"/>
        </w:rPr>
        <w:t>a</w:t>
      </w:r>
      <w:r w:rsidRPr="00207EFE">
        <w:rPr>
          <w:color w:val="000000"/>
          <w:szCs w:val="24"/>
          <w:lang w:val="fr-FR" w:eastAsia="en-GB"/>
        </w:rPr>
        <w:t>u Gouvernement</w:t>
      </w:r>
      <w:r>
        <w:rPr>
          <w:color w:val="000000"/>
          <w:szCs w:val="24"/>
          <w:lang w:val="fr-FR" w:eastAsia="en-GB"/>
        </w:rPr>
        <w:t xml:space="preserve"> et la requête a été déclarée irrecevable pour le surplus</w:t>
      </w:r>
      <w:r w:rsidRPr="00207EFE">
        <w:rPr>
          <w:color w:val="0000FF"/>
          <w:szCs w:val="24"/>
          <w:lang w:val="fr-FR" w:eastAsia="en-GB"/>
        </w:rPr>
        <w:t>.</w:t>
      </w:r>
    </w:p>
    <w:p w:rsidR="00501FD7" w:rsidRPr="00207EFE" w:rsidRDefault="00501FD7" w:rsidP="00D36914">
      <w:pPr>
        <w:pStyle w:val="ECHRTitle1"/>
        <w:rPr>
          <w:lang w:val="fr-FR"/>
        </w:rPr>
      </w:pPr>
      <w:r w:rsidRPr="00207EFE">
        <w:rPr>
          <w:lang w:val="fr-FR"/>
        </w:rPr>
        <w:lastRenderedPageBreak/>
        <w:t>EN DROIT</w:t>
      </w:r>
    </w:p>
    <w:p w:rsidR="00D22006" w:rsidRDefault="00501FD7" w:rsidP="00D36914">
      <w:pPr>
        <w:pStyle w:val="ECHRPara"/>
        <w:rPr>
          <w:lang w:val="fr-FR"/>
        </w:rPr>
      </w:pPr>
      <w:r>
        <w:rPr>
          <w:szCs w:val="24"/>
          <w:lang w:val="fr-FR"/>
        </w:rPr>
        <w:t>5.  </w:t>
      </w:r>
      <w:r w:rsidRPr="00207EFE">
        <w:rPr>
          <w:szCs w:val="24"/>
          <w:lang w:val="fr-FR"/>
        </w:rPr>
        <w:t>La partie requérante</w:t>
      </w:r>
      <w:r w:rsidRPr="00207EFE">
        <w:rPr>
          <w:lang w:val="fr-FR"/>
        </w:rPr>
        <w:t xml:space="preserve"> alléguait que </w:t>
      </w:r>
      <w:r>
        <w:rPr>
          <w:lang w:val="fr-FR"/>
        </w:rPr>
        <w:t>les audiences d</w:t>
      </w:r>
      <w:r w:rsidR="00ED21B9">
        <w:rPr>
          <w:lang w:val="fr-FR"/>
        </w:rPr>
        <w:t>’</w:t>
      </w:r>
      <w:r>
        <w:rPr>
          <w:lang w:val="fr-FR"/>
        </w:rPr>
        <w:t>une procédure pour l</w:t>
      </w:r>
      <w:r w:rsidR="00ED21B9">
        <w:rPr>
          <w:lang w:val="fr-FR"/>
        </w:rPr>
        <w:t>’</w:t>
      </w:r>
      <w:r>
        <w:rPr>
          <w:lang w:val="fr-FR"/>
        </w:rPr>
        <w:t>application des mesures de prévention avaient eu lieu en chambre du conseil</w:t>
      </w:r>
      <w:r w:rsidRPr="00207EFE">
        <w:rPr>
          <w:lang w:val="fr-FR"/>
        </w:rPr>
        <w:t>. Elle invoquait l</w:t>
      </w:r>
      <w:r w:rsidR="00ED21B9">
        <w:rPr>
          <w:lang w:val="fr-FR"/>
        </w:rPr>
        <w:t>’</w:t>
      </w:r>
      <w:r w:rsidRPr="00207EFE">
        <w:rPr>
          <w:lang w:val="fr-FR"/>
        </w:rPr>
        <w:t xml:space="preserve">article </w:t>
      </w:r>
      <w:r>
        <w:rPr>
          <w:lang w:val="fr-FR"/>
        </w:rPr>
        <w:t>6 § 1</w:t>
      </w:r>
      <w:r w:rsidRPr="00207EFE">
        <w:rPr>
          <w:lang w:val="fr-FR"/>
        </w:rPr>
        <w:t xml:space="preserve"> de la Convention.</w:t>
      </w:r>
    </w:p>
    <w:p w:rsidR="00501FD7" w:rsidRPr="00207EFE" w:rsidRDefault="00501FD7" w:rsidP="00D36914">
      <w:pPr>
        <w:pStyle w:val="ECHRPara"/>
        <w:rPr>
          <w:szCs w:val="24"/>
          <w:lang w:val="fr-FR"/>
        </w:rPr>
      </w:pPr>
      <w:r>
        <w:rPr>
          <w:lang w:val="fr-FR"/>
        </w:rPr>
        <w:t>6.  </w:t>
      </w:r>
      <w:r w:rsidRPr="00207EFE">
        <w:rPr>
          <w:lang w:val="fr-FR"/>
        </w:rPr>
        <w:t>Après l</w:t>
      </w:r>
      <w:r w:rsidR="00ED21B9">
        <w:rPr>
          <w:lang w:val="fr-FR"/>
        </w:rPr>
        <w:t>’</w:t>
      </w:r>
      <w:r w:rsidRPr="00207EFE">
        <w:rPr>
          <w:lang w:val="fr-FR"/>
        </w:rPr>
        <w:t>échec des tentatives de règlement amiable, par</w:t>
      </w:r>
      <w:r w:rsidRPr="00207EFE">
        <w:rPr>
          <w:szCs w:val="24"/>
          <w:lang w:val="fr-FR"/>
        </w:rPr>
        <w:t xml:space="preserve"> une lettre du </w:t>
      </w:r>
      <w:r>
        <w:rPr>
          <w:lang w:val="fr-FR"/>
        </w:rPr>
        <w:t>15 janvier 2015</w:t>
      </w:r>
      <w:r w:rsidRPr="00207EFE">
        <w:rPr>
          <w:szCs w:val="24"/>
          <w:lang w:val="fr-FR"/>
        </w:rPr>
        <w:t xml:space="preserve"> le Gouvernement a informé la Cour qu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207EFE">
        <w:rPr>
          <w:lang w:val="fr-FR"/>
        </w:rPr>
        <w:t>la requête</w:t>
      </w:r>
      <w:r w:rsidRPr="00207EFE">
        <w:rPr>
          <w:szCs w:val="24"/>
          <w:lang w:val="fr-FR"/>
        </w:rPr>
        <w:t>. Il a en outre invité la Cour à rayer celle-ci du rôle en application de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article 37 de la Convention.</w:t>
      </w:r>
    </w:p>
    <w:p w:rsidR="00D22006" w:rsidRDefault="00501FD7" w:rsidP="00D36914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7.  </w:t>
      </w:r>
      <w:r w:rsidRPr="00207EFE">
        <w:rPr>
          <w:szCs w:val="24"/>
          <w:lang w:val="fr-FR"/>
        </w:rPr>
        <w:t>La déclaration était ainsi libellée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« Le Gouvernement italien reconnaît que les requérant[e]s ont subi la violation de l</w:t>
      </w:r>
      <w:r w:rsidR="00ED21B9">
        <w:rPr>
          <w:lang w:val="fr-FR"/>
        </w:rPr>
        <w:t>’</w:t>
      </w:r>
      <w:r>
        <w:rPr>
          <w:lang w:val="fr-FR"/>
        </w:rPr>
        <w:t xml:space="preserve">article 6 § 1 de la Convention, selon la jurisprudence bien établie de la Cour (arrêt du 13 novembre 2007, </w:t>
      </w:r>
      <w:proofErr w:type="spellStart"/>
      <w:r>
        <w:rPr>
          <w:i/>
          <w:lang w:val="fr-FR"/>
        </w:rPr>
        <w:t>Bocellari</w:t>
      </w:r>
      <w:proofErr w:type="spellEnd"/>
      <w:r>
        <w:rPr>
          <w:i/>
          <w:lang w:val="fr-FR"/>
        </w:rPr>
        <w:t xml:space="preserve"> et </w:t>
      </w:r>
      <w:proofErr w:type="spellStart"/>
      <w:r>
        <w:rPr>
          <w:i/>
          <w:lang w:val="fr-FR"/>
        </w:rPr>
        <w:t>Rizza</w:t>
      </w:r>
      <w:proofErr w:type="spellEnd"/>
      <w:r>
        <w:rPr>
          <w:i/>
          <w:lang w:val="fr-FR"/>
        </w:rPr>
        <w:t xml:space="preserve"> c. Italie</w:t>
      </w:r>
      <w:r>
        <w:rPr>
          <w:lang w:val="fr-FR"/>
        </w:rPr>
        <w:t>, requête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399/02 ; arrêt du 8 juillet 2008, </w:t>
      </w:r>
      <w:proofErr w:type="spellStart"/>
      <w:r>
        <w:rPr>
          <w:i/>
          <w:lang w:val="fr-FR"/>
        </w:rPr>
        <w:t>Perre</w:t>
      </w:r>
      <w:proofErr w:type="spellEnd"/>
      <w:r>
        <w:rPr>
          <w:i/>
          <w:lang w:val="fr-FR"/>
        </w:rPr>
        <w:t xml:space="preserve"> et autres c. Italie</w:t>
      </w:r>
      <w:r>
        <w:rPr>
          <w:lang w:val="fr-FR"/>
        </w:rPr>
        <w:t>,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 1905/05 ; arrêt du 5 janvier 2010, </w:t>
      </w:r>
      <w:proofErr w:type="spellStart"/>
      <w:r>
        <w:rPr>
          <w:i/>
          <w:lang w:val="fr-FR"/>
        </w:rPr>
        <w:t>Bongiorno</w:t>
      </w:r>
      <w:proofErr w:type="spellEnd"/>
      <w:r>
        <w:rPr>
          <w:i/>
          <w:lang w:val="fr-FR"/>
        </w:rPr>
        <w:t xml:space="preserve"> et autres c. Italie</w:t>
      </w:r>
      <w:r>
        <w:rPr>
          <w:lang w:val="fr-FR"/>
        </w:rPr>
        <w:t>,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4514/07).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Le Gouvernement italien désirant réparer la violation, offre, à côté du constat de violation, les frais de procédure à hauteur de 800 euros.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Ce montant sera payé dans les trois mois suivant la date de la notification de la décision de la Cour rendue conformément à l</w:t>
      </w:r>
      <w:r w:rsidR="00ED21B9">
        <w:rPr>
          <w:lang w:val="fr-FR"/>
        </w:rPr>
        <w:t>’</w:t>
      </w:r>
      <w:r>
        <w:rPr>
          <w:lang w:val="fr-FR"/>
        </w:rPr>
        <w:t>article 37 § 1 de la Convention européenne des droits de l</w:t>
      </w:r>
      <w:r w:rsidR="00ED21B9">
        <w:rPr>
          <w:lang w:val="fr-FR"/>
        </w:rPr>
        <w:t>’</w:t>
      </w:r>
      <w:r>
        <w:rPr>
          <w:lang w:val="fr-FR"/>
        </w:rPr>
        <w:t xml:space="preserve">homme.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défaut de règlement dans ledit délai, le Gouvernement s</w:t>
      </w:r>
      <w:r w:rsidR="00ED21B9">
        <w:rPr>
          <w:lang w:val="fr-FR"/>
        </w:rPr>
        <w:t>’</w:t>
      </w:r>
      <w:r>
        <w:rPr>
          <w:lang w:val="fr-FR"/>
        </w:rPr>
        <w:t>engage à verser, à compter de l</w:t>
      </w:r>
      <w:r w:rsidR="00ED21B9">
        <w:rPr>
          <w:lang w:val="fr-FR"/>
        </w:rPr>
        <w:t>’</w:t>
      </w:r>
      <w:r>
        <w:rPr>
          <w:lang w:val="fr-FR"/>
        </w:rPr>
        <w:t>expiration de celui-ci et jusqu</w:t>
      </w:r>
      <w:r w:rsidR="00ED21B9">
        <w:rPr>
          <w:lang w:val="fr-FR"/>
        </w:rPr>
        <w:t>’</w:t>
      </w:r>
      <w:r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D21B9">
        <w:rPr>
          <w:lang w:val="fr-FR"/>
        </w:rPr>
        <w:t>’</w:t>
      </w:r>
      <w:r>
        <w:rPr>
          <w:lang w:val="fr-FR"/>
        </w:rPr>
        <w:t>affaire.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Le Gouvernement italien estime que la reconnaissance de la violation et l</w:t>
      </w:r>
      <w:r w:rsidR="00ED21B9">
        <w:rPr>
          <w:lang w:val="fr-FR"/>
        </w:rPr>
        <w:t>’</w:t>
      </w:r>
      <w:r>
        <w:rPr>
          <w:lang w:val="fr-FR"/>
        </w:rPr>
        <w:t>offre du montant des frais de la procédure constituent un redressement adéquat, au sens de l</w:t>
      </w:r>
      <w:r w:rsidR="00ED21B9">
        <w:rPr>
          <w:lang w:val="fr-FR"/>
        </w:rPr>
        <w:t>’</w:t>
      </w:r>
      <w:r>
        <w:rPr>
          <w:lang w:val="fr-FR"/>
        </w:rPr>
        <w:t xml:space="preserve">arrêt </w:t>
      </w:r>
      <w:proofErr w:type="spellStart"/>
      <w:r>
        <w:rPr>
          <w:i/>
          <w:lang w:val="fr-FR"/>
        </w:rPr>
        <w:t>Rizza</w:t>
      </w:r>
      <w:proofErr w:type="spellEnd"/>
      <w:r>
        <w:rPr>
          <w:i/>
          <w:lang w:val="fr-FR"/>
        </w:rPr>
        <w:t xml:space="preserve"> et </w:t>
      </w:r>
      <w:proofErr w:type="spellStart"/>
      <w:r>
        <w:rPr>
          <w:i/>
          <w:lang w:val="fr-FR"/>
        </w:rPr>
        <w:t>Bocellari</w:t>
      </w:r>
      <w:proofErr w:type="spellEnd"/>
      <w:r>
        <w:rPr>
          <w:lang w:val="fr-FR"/>
        </w:rPr>
        <w:t xml:space="preserve"> et conformément à la décision du 13 mai 2014, </w:t>
      </w:r>
      <w:r w:rsidR="006078D3">
        <w:rPr>
          <w:i/>
          <w:lang w:val="fr-FR"/>
        </w:rPr>
        <w:t>Frascati </w:t>
      </w:r>
      <w:r>
        <w:rPr>
          <w:i/>
          <w:lang w:val="fr-FR"/>
        </w:rPr>
        <w:t>c. Italie</w:t>
      </w:r>
      <w:r>
        <w:rPr>
          <w:lang w:val="fr-FR"/>
        </w:rPr>
        <w:t>,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5382/08.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Le Gouvernement italien estime en outre qu</w:t>
      </w:r>
      <w:r w:rsidR="00ED21B9">
        <w:rPr>
          <w:lang w:val="fr-FR"/>
        </w:rPr>
        <w:t>’</w:t>
      </w:r>
      <w:r>
        <w:rPr>
          <w:lang w:val="fr-FR"/>
        </w:rPr>
        <w:t>il ne se justifie plus de poursuivre l</w:t>
      </w:r>
      <w:r w:rsidR="00ED21B9">
        <w:rPr>
          <w:lang w:val="fr-FR"/>
        </w:rPr>
        <w:t>’</w:t>
      </w:r>
      <w:r>
        <w:rPr>
          <w:lang w:val="fr-FR"/>
        </w:rPr>
        <w:t>examen de la requête, car par l</w:t>
      </w:r>
      <w:r w:rsidR="00ED21B9">
        <w:rPr>
          <w:lang w:val="fr-FR"/>
        </w:rPr>
        <w:t>’</w:t>
      </w:r>
      <w:r>
        <w:rPr>
          <w:lang w:val="fr-FR"/>
        </w:rPr>
        <w:t>arrêt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93 du 12 mars 2010, la Cour constitutionnelle italienne, sur la base de l</w:t>
      </w:r>
      <w:r w:rsidR="00ED21B9">
        <w:rPr>
          <w:lang w:val="fr-FR"/>
        </w:rPr>
        <w:t>’</w:t>
      </w:r>
      <w:r>
        <w:rPr>
          <w:lang w:val="fr-FR"/>
        </w:rPr>
        <w:t>article 6 § 1 de la Convention comme appliqué par la Cour dans les arrêts susmentionnés, a déclaré l</w:t>
      </w:r>
      <w:r w:rsidR="00ED21B9">
        <w:rPr>
          <w:lang w:val="fr-FR"/>
        </w:rPr>
        <w:t>’</w:t>
      </w:r>
      <w:r>
        <w:rPr>
          <w:lang w:val="fr-FR"/>
        </w:rPr>
        <w:t>illégitimité constitutionnelle des dispositions relatives à la procédure pour l</w:t>
      </w:r>
      <w:r w:rsidR="00ED21B9">
        <w:rPr>
          <w:lang w:val="fr-FR"/>
        </w:rPr>
        <w:t>’</w:t>
      </w:r>
      <w:r>
        <w:rPr>
          <w:lang w:val="fr-FR"/>
        </w:rPr>
        <w:t>application des mesures de prévention personnelles et patrimoniales (articles 4 de la loi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1423 de 1956 et 2</w:t>
      </w:r>
      <w:r>
        <w:rPr>
          <w:i/>
          <w:lang w:val="fr-FR"/>
        </w:rPr>
        <w:t xml:space="preserve">ter </w:t>
      </w:r>
      <w:r>
        <w:rPr>
          <w:lang w:val="fr-FR"/>
        </w:rPr>
        <w:t>de la loi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575 de 1965), en tant qu</w:t>
      </w:r>
      <w:r w:rsidR="00ED21B9">
        <w:rPr>
          <w:lang w:val="fr-FR"/>
        </w:rPr>
        <w:t>’</w:t>
      </w:r>
      <w:r>
        <w:rPr>
          <w:lang w:val="fr-FR"/>
        </w:rPr>
        <w:t>elles n</w:t>
      </w:r>
      <w:r w:rsidR="00ED21B9">
        <w:rPr>
          <w:lang w:val="fr-FR"/>
        </w:rPr>
        <w:t>’</w:t>
      </w:r>
      <w:r>
        <w:rPr>
          <w:lang w:val="fr-FR"/>
        </w:rPr>
        <w:t>accordent pas aux intéressés le droit de demander le déroulement de la procédure en audience publique.</w:t>
      </w:r>
    </w:p>
    <w:p w:rsidR="00501FD7" w:rsidRDefault="00501FD7" w:rsidP="00D36914">
      <w:pPr>
        <w:pStyle w:val="ECHRParaQuote"/>
        <w:rPr>
          <w:lang w:val="fr-FR"/>
        </w:rPr>
      </w:pPr>
      <w:r>
        <w:rPr>
          <w:lang w:val="fr-FR"/>
        </w:rPr>
        <w:t>Par conséquent, le Gouvernement invite respectueusement la Cour à dire qu</w:t>
      </w:r>
      <w:r w:rsidR="00ED21B9">
        <w:rPr>
          <w:lang w:val="fr-FR"/>
        </w:rPr>
        <w:t>’</w:t>
      </w:r>
      <w:r>
        <w:rPr>
          <w:lang w:val="fr-FR"/>
        </w:rPr>
        <w:t>il ne se justifie plus de poursuivre l</w:t>
      </w:r>
      <w:r w:rsidR="00ED21B9">
        <w:rPr>
          <w:lang w:val="fr-FR"/>
        </w:rPr>
        <w:t>’</w:t>
      </w:r>
      <w:r>
        <w:rPr>
          <w:lang w:val="fr-FR"/>
        </w:rPr>
        <w:t>examen de la requête et à la rayer du rôle conformément à l</w:t>
      </w:r>
      <w:r w:rsidR="00ED21B9">
        <w:rPr>
          <w:lang w:val="fr-FR"/>
        </w:rPr>
        <w:t>’</w:t>
      </w:r>
      <w:r>
        <w:rPr>
          <w:lang w:val="fr-FR"/>
        </w:rPr>
        <w:t>article 37 de la Convention. »</w:t>
      </w:r>
    </w:p>
    <w:p w:rsidR="00501FD7" w:rsidRPr="00207EFE" w:rsidRDefault="00501FD7" w:rsidP="00D36914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8.  La déclaration du Gouvernement a été portée à la connaissance de la partie requérante, qui a été invitée à présenter ses observations éventuelles à ce sujet avant le 25 février 2015. Aucune communication n</w:t>
      </w:r>
      <w:r w:rsidR="00ED21B9">
        <w:rPr>
          <w:szCs w:val="24"/>
          <w:lang w:val="fr-FR"/>
        </w:rPr>
        <w:t>’</w:t>
      </w:r>
      <w:r>
        <w:rPr>
          <w:szCs w:val="24"/>
          <w:lang w:val="fr-FR"/>
        </w:rPr>
        <w:t>est parvenue au greffe de la Cour dans le délai fixé à cet effet.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szCs w:val="24"/>
          <w:lang w:val="fr-FR"/>
        </w:rPr>
        <w:t>9.  </w:t>
      </w:r>
      <w:r w:rsidRPr="00207EFE">
        <w:rPr>
          <w:szCs w:val="24"/>
          <w:lang w:val="fr-FR"/>
        </w:rPr>
        <w:t>La Cour rappelle qu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en vertu de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 xml:space="preserve">article </w:t>
      </w:r>
      <w:r w:rsidRPr="00207EFE">
        <w:rPr>
          <w:lang w:val="fr-FR"/>
        </w:rPr>
        <w:t xml:space="preserve">37 de la Convention, à tout moment de la procédure, elle peut décider de rayer une requête du rôle </w:t>
      </w:r>
      <w:r w:rsidRPr="00207EFE">
        <w:rPr>
          <w:lang w:val="fr-FR"/>
        </w:rPr>
        <w:lastRenderedPageBreak/>
        <w:t>lorsque les circonstances l</w:t>
      </w:r>
      <w:r w:rsidR="00ED21B9">
        <w:rPr>
          <w:lang w:val="fr-FR"/>
        </w:rPr>
        <w:t>’</w:t>
      </w:r>
      <w:r w:rsidRPr="00207EFE">
        <w:rPr>
          <w:lang w:val="fr-FR"/>
        </w:rPr>
        <w:t>amènent à l</w:t>
      </w:r>
      <w:r w:rsidR="00ED21B9">
        <w:rPr>
          <w:lang w:val="fr-FR"/>
        </w:rPr>
        <w:t>’</w:t>
      </w:r>
      <w:r w:rsidRPr="00207EFE">
        <w:rPr>
          <w:lang w:val="fr-FR"/>
        </w:rPr>
        <w:t>une des conclusions énoncées aux alinéas a), b) ou c) du paragraphe 1 de cet article. L</w:t>
      </w:r>
      <w:r w:rsidR="00ED21B9">
        <w:rPr>
          <w:lang w:val="fr-FR"/>
        </w:rPr>
        <w:t>’</w:t>
      </w:r>
      <w:r w:rsidRPr="00207EFE">
        <w:rPr>
          <w:lang w:val="fr-FR"/>
        </w:rPr>
        <w:t>article 37 § 1 c) lui permet en particulier de rayer une affaire du rôle si :</w:t>
      </w:r>
    </w:p>
    <w:p w:rsidR="00501FD7" w:rsidRPr="00207EFE" w:rsidRDefault="00501FD7" w:rsidP="00D36914">
      <w:pPr>
        <w:pStyle w:val="ECHRParaQuote"/>
        <w:rPr>
          <w:szCs w:val="24"/>
          <w:lang w:val="fr-FR"/>
        </w:rPr>
      </w:pPr>
      <w:r w:rsidRPr="00207EFE">
        <w:rPr>
          <w:lang w:val="fr-FR"/>
        </w:rPr>
        <w:t>« </w:t>
      </w:r>
      <w:proofErr w:type="gramStart"/>
      <w:r w:rsidRPr="00207EFE">
        <w:rPr>
          <w:lang w:val="fr-FR"/>
        </w:rPr>
        <w:t>pour</w:t>
      </w:r>
      <w:proofErr w:type="gramEnd"/>
      <w:r w:rsidRPr="00207EFE">
        <w:rPr>
          <w:lang w:val="fr-FR"/>
        </w:rPr>
        <w:t xml:space="preserve"> tout autre motif dont la Cour constate l</w:t>
      </w:r>
      <w:r w:rsidR="00ED21B9">
        <w:rPr>
          <w:lang w:val="fr-FR"/>
        </w:rPr>
        <w:t>’</w:t>
      </w:r>
      <w:r w:rsidRPr="00207EFE">
        <w:rPr>
          <w:lang w:val="fr-FR"/>
        </w:rPr>
        <w:t>existence, il ne se justifie plus de poursuivre l</w:t>
      </w:r>
      <w:r w:rsidR="00ED21B9">
        <w:rPr>
          <w:lang w:val="fr-FR"/>
        </w:rPr>
        <w:t>’</w:t>
      </w:r>
      <w:r w:rsidRPr="00207EFE">
        <w:rPr>
          <w:lang w:val="fr-FR"/>
        </w:rPr>
        <w:t>examen de la requête  ».</w:t>
      </w:r>
    </w:p>
    <w:p w:rsidR="00501FD7" w:rsidRPr="00207EFE" w:rsidRDefault="00501FD7" w:rsidP="00D36914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10.  </w:t>
      </w:r>
      <w:r w:rsidRPr="00207EFE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article 37 § 1 c) sur la base d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une déclaration unilatérale du gouvernement défendeur même si le requérant souhaite que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examen de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affaire se poursuive</w:t>
      </w:r>
      <w:r>
        <w:rPr>
          <w:szCs w:val="24"/>
          <w:lang w:val="fr-FR"/>
        </w:rPr>
        <w:t xml:space="preserve"> ou s</w:t>
      </w:r>
      <w:r w:rsidR="00ED21B9">
        <w:rPr>
          <w:szCs w:val="24"/>
          <w:lang w:val="fr-FR"/>
        </w:rPr>
        <w:t>’</w:t>
      </w:r>
      <w:r>
        <w:rPr>
          <w:szCs w:val="24"/>
          <w:lang w:val="fr-FR"/>
        </w:rPr>
        <w:t>il ne s</w:t>
      </w:r>
      <w:r w:rsidR="00ED21B9">
        <w:rPr>
          <w:szCs w:val="24"/>
          <w:lang w:val="fr-FR"/>
        </w:rPr>
        <w:t>’</w:t>
      </w:r>
      <w:r>
        <w:rPr>
          <w:szCs w:val="24"/>
          <w:lang w:val="fr-FR"/>
        </w:rPr>
        <w:t>exprime pas à ce sujet</w:t>
      </w:r>
      <w:r w:rsidRPr="00207EFE">
        <w:rPr>
          <w:szCs w:val="24"/>
          <w:lang w:val="fr-FR"/>
        </w:rPr>
        <w:t>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11.  </w:t>
      </w:r>
      <w:r w:rsidRPr="00207EFE">
        <w:rPr>
          <w:lang w:val="fr-FR"/>
        </w:rPr>
        <w:t>À</w:t>
      </w:r>
      <w:r w:rsidRPr="00207EFE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D21B9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 xml:space="preserve">arrêt </w:t>
      </w:r>
      <w:proofErr w:type="spellStart"/>
      <w:r w:rsidR="006078D3">
        <w:rPr>
          <w:i/>
          <w:lang w:val="fr-FR"/>
        </w:rPr>
        <w:t>Tahsin</w:t>
      </w:r>
      <w:proofErr w:type="spellEnd"/>
      <w:r w:rsidR="006078D3">
        <w:rPr>
          <w:i/>
          <w:lang w:val="fr-FR"/>
        </w:rPr>
        <w:t> </w:t>
      </w:r>
      <w:proofErr w:type="spellStart"/>
      <w:r w:rsidRPr="00207EFE">
        <w:rPr>
          <w:i/>
          <w:lang w:val="fr-FR"/>
        </w:rPr>
        <w:t>Acar</w:t>
      </w:r>
      <w:proofErr w:type="spellEnd"/>
      <w:r w:rsidRPr="00207EFE">
        <w:rPr>
          <w:i/>
          <w:lang w:val="fr-FR"/>
        </w:rPr>
        <w:t xml:space="preserve"> </w:t>
      </w:r>
      <w:r w:rsidRPr="00207EFE">
        <w:rPr>
          <w:lang w:val="fr-FR"/>
        </w:rPr>
        <w:t>(</w:t>
      </w:r>
      <w:proofErr w:type="spellStart"/>
      <w:r w:rsidRPr="00207EFE">
        <w:rPr>
          <w:i/>
          <w:lang w:val="fr-FR"/>
        </w:rPr>
        <w:t>Tahsin</w:t>
      </w:r>
      <w:proofErr w:type="spellEnd"/>
      <w:r w:rsidRPr="00207EFE">
        <w:rPr>
          <w:i/>
          <w:lang w:val="fr-FR"/>
        </w:rPr>
        <w:t xml:space="preserve"> </w:t>
      </w:r>
      <w:proofErr w:type="spellStart"/>
      <w:r w:rsidRPr="00207EFE">
        <w:rPr>
          <w:i/>
          <w:lang w:val="fr-FR"/>
        </w:rPr>
        <w:t>Acar</w:t>
      </w:r>
      <w:proofErr w:type="spellEnd"/>
      <w:r w:rsidRPr="00207EFE">
        <w:rPr>
          <w:i/>
          <w:lang w:val="fr-FR"/>
        </w:rPr>
        <w:t xml:space="preserve"> c. Turquie</w:t>
      </w:r>
      <w:r w:rsidRPr="00207EFE">
        <w:rPr>
          <w:iCs/>
          <w:lang w:val="fr-FR"/>
        </w:rPr>
        <w:t xml:space="preserve"> (question préliminaire) </w:t>
      </w:r>
      <w:r w:rsidRPr="00317FFB">
        <w:rPr>
          <w:lang w:val="fr-FR"/>
        </w:rPr>
        <w:t>[</w:t>
      </w:r>
      <w:r w:rsidRPr="00207EFE">
        <w:rPr>
          <w:lang w:val="fr-FR"/>
        </w:rPr>
        <w:t>GC],</w:t>
      </w:r>
      <w:r w:rsidRPr="00207EFE">
        <w:rPr>
          <w:i/>
          <w:lang w:val="fr-FR"/>
        </w:rPr>
        <w:t xml:space="preserve"> </w:t>
      </w:r>
      <w:r w:rsidRPr="00207EFE">
        <w:rPr>
          <w:lang w:val="fr-FR"/>
        </w:rPr>
        <w:t>n</w:t>
      </w:r>
      <w:r w:rsidR="006078D3">
        <w:rPr>
          <w:vertAlign w:val="superscript"/>
          <w:lang w:val="fr-FR"/>
        </w:rPr>
        <w:t>o </w:t>
      </w:r>
      <w:r w:rsidRPr="00207EFE">
        <w:rPr>
          <w:lang w:val="fr-FR"/>
        </w:rPr>
        <w:t>26307/95, §§ 75</w:t>
      </w:r>
      <w:r w:rsidRPr="00207EFE">
        <w:rPr>
          <w:lang w:val="fr-FR"/>
        </w:rPr>
        <w:noBreakHyphen/>
        <w:t>77, CEDH 2003</w:t>
      </w:r>
      <w:r w:rsidRPr="00207EFE">
        <w:rPr>
          <w:lang w:val="fr-FR"/>
        </w:rPr>
        <w:noBreakHyphen/>
        <w:t xml:space="preserve">VI, </w:t>
      </w:r>
      <w:r w:rsidRPr="00207EFE">
        <w:rPr>
          <w:i/>
          <w:szCs w:val="24"/>
          <w:lang w:val="fr-FR"/>
        </w:rPr>
        <w:t xml:space="preserve">WAZA </w:t>
      </w:r>
      <w:proofErr w:type="spellStart"/>
      <w:r w:rsidRPr="00207EFE">
        <w:rPr>
          <w:i/>
          <w:szCs w:val="24"/>
          <w:lang w:val="fr-FR"/>
        </w:rPr>
        <w:t>Spółka</w:t>
      </w:r>
      <w:proofErr w:type="spellEnd"/>
      <w:r w:rsidRPr="00207EFE">
        <w:rPr>
          <w:i/>
          <w:szCs w:val="24"/>
          <w:lang w:val="fr-FR"/>
        </w:rPr>
        <w:t xml:space="preserve"> z </w:t>
      </w:r>
      <w:proofErr w:type="spellStart"/>
      <w:r w:rsidRPr="00207EFE">
        <w:rPr>
          <w:i/>
          <w:szCs w:val="24"/>
          <w:lang w:val="fr-FR"/>
        </w:rPr>
        <w:t>o.o</w:t>
      </w:r>
      <w:proofErr w:type="spellEnd"/>
      <w:r w:rsidRPr="00207EFE">
        <w:rPr>
          <w:i/>
          <w:szCs w:val="24"/>
          <w:lang w:val="fr-FR"/>
        </w:rPr>
        <w:t xml:space="preserve">. c. Pologne </w:t>
      </w:r>
      <w:r w:rsidRPr="00207EFE">
        <w:rPr>
          <w:szCs w:val="24"/>
          <w:lang w:val="fr-FR"/>
        </w:rPr>
        <w:t>(déc.), n</w:t>
      </w:r>
      <w:r w:rsidRPr="00207EFE">
        <w:rPr>
          <w:szCs w:val="24"/>
          <w:vertAlign w:val="superscript"/>
          <w:lang w:val="fr-FR"/>
        </w:rPr>
        <w:t>o</w:t>
      </w:r>
      <w:r w:rsidRPr="00207EFE">
        <w:rPr>
          <w:szCs w:val="24"/>
          <w:lang w:val="fr-FR"/>
        </w:rPr>
        <w:t xml:space="preserve"> 11602/02, 26 juin 2007, et </w:t>
      </w:r>
      <w:proofErr w:type="spellStart"/>
      <w:r w:rsidRPr="00207EFE">
        <w:rPr>
          <w:i/>
          <w:szCs w:val="24"/>
          <w:lang w:val="fr-FR"/>
        </w:rPr>
        <w:t>Sulwińska</w:t>
      </w:r>
      <w:proofErr w:type="spellEnd"/>
      <w:r w:rsidRPr="00207EFE">
        <w:rPr>
          <w:i/>
          <w:szCs w:val="24"/>
          <w:lang w:val="fr-FR"/>
        </w:rPr>
        <w:t xml:space="preserve"> c. Pologne</w:t>
      </w:r>
      <w:r w:rsidRPr="00207EFE">
        <w:rPr>
          <w:szCs w:val="24"/>
          <w:lang w:val="fr-FR"/>
        </w:rPr>
        <w:t xml:space="preserve"> (déc.), n</w:t>
      </w:r>
      <w:r w:rsidRPr="00207EFE">
        <w:rPr>
          <w:szCs w:val="24"/>
          <w:vertAlign w:val="superscript"/>
          <w:lang w:val="fr-FR"/>
        </w:rPr>
        <w:t>o</w:t>
      </w:r>
      <w:r w:rsidR="006078D3">
        <w:rPr>
          <w:szCs w:val="24"/>
          <w:lang w:val="fr-FR"/>
        </w:rPr>
        <w:t> </w:t>
      </w:r>
      <w:r w:rsidRPr="00207EFE">
        <w:rPr>
          <w:szCs w:val="24"/>
          <w:lang w:val="fr-FR"/>
        </w:rPr>
        <w:t>28953/03, 18 septembre 2007</w:t>
      </w:r>
      <w:r w:rsidRPr="00207EFE">
        <w:rPr>
          <w:lang w:val="fr-FR"/>
        </w:rPr>
        <w:t>).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12.  </w:t>
      </w:r>
      <w:r w:rsidRPr="001A207C">
        <w:rPr>
          <w:lang w:val="fr-FR"/>
        </w:rPr>
        <w:t>La Cour a établi dans un certain nombre d</w:t>
      </w:r>
      <w:r w:rsidR="00ED21B9">
        <w:rPr>
          <w:lang w:val="fr-FR"/>
        </w:rPr>
        <w:t>’</w:t>
      </w:r>
      <w:r w:rsidRPr="001A207C">
        <w:rPr>
          <w:lang w:val="fr-FR"/>
        </w:rPr>
        <w:t>affaires dirigées contre l</w:t>
      </w:r>
      <w:r w:rsidR="00ED21B9">
        <w:rPr>
          <w:lang w:val="fr-FR"/>
        </w:rPr>
        <w:t>’</w:t>
      </w:r>
      <w:r w:rsidRPr="001A207C">
        <w:rPr>
          <w:lang w:val="fr-FR"/>
        </w:rPr>
        <w:t>Italie la nature et l</w:t>
      </w:r>
      <w:r w:rsidR="00ED21B9">
        <w:rPr>
          <w:lang w:val="fr-FR"/>
        </w:rPr>
        <w:t>’</w:t>
      </w:r>
      <w:r w:rsidRPr="001A207C">
        <w:rPr>
          <w:lang w:val="fr-FR"/>
        </w:rPr>
        <w:t>étendue de l</w:t>
      </w:r>
      <w:r w:rsidR="00ED21B9">
        <w:rPr>
          <w:lang w:val="fr-FR"/>
        </w:rPr>
        <w:t>’</w:t>
      </w:r>
      <w:r w:rsidRPr="001A207C">
        <w:rPr>
          <w:lang w:val="fr-FR"/>
        </w:rPr>
        <w:t>obligation, pour l</w:t>
      </w:r>
      <w:r w:rsidR="00ED21B9">
        <w:rPr>
          <w:lang w:val="fr-FR"/>
        </w:rPr>
        <w:t>’</w:t>
      </w:r>
      <w:r w:rsidRPr="001A207C">
        <w:rPr>
          <w:lang w:val="fr-FR"/>
        </w:rPr>
        <w:t>État défendeur, de reconnaître aux justiciables le droit de se voir offrir la possibilité de solliciter une audience publique dans le cadre des procédures visant l</w:t>
      </w:r>
      <w:r w:rsidR="00ED21B9">
        <w:rPr>
          <w:lang w:val="fr-FR"/>
        </w:rPr>
        <w:t>’</w:t>
      </w:r>
      <w:r w:rsidRPr="001A207C">
        <w:rPr>
          <w:lang w:val="fr-FR"/>
        </w:rPr>
        <w:t>application des mesures de prévention (</w:t>
      </w:r>
      <w:r>
        <w:rPr>
          <w:lang w:val="fr-FR"/>
        </w:rPr>
        <w:t xml:space="preserve">voir, </w:t>
      </w:r>
      <w:r w:rsidRPr="001A207C">
        <w:rPr>
          <w:lang w:val="fr-FR"/>
        </w:rPr>
        <w:t xml:space="preserve">entre autres, </w:t>
      </w:r>
      <w:proofErr w:type="spellStart"/>
      <w:r w:rsidRPr="001A207C">
        <w:rPr>
          <w:i/>
          <w:lang w:val="fr-FR"/>
        </w:rPr>
        <w:t>Bocellari</w:t>
      </w:r>
      <w:proofErr w:type="spellEnd"/>
      <w:r w:rsidRPr="001A207C">
        <w:rPr>
          <w:i/>
          <w:lang w:val="fr-FR"/>
        </w:rPr>
        <w:t xml:space="preserve"> et </w:t>
      </w:r>
      <w:proofErr w:type="spellStart"/>
      <w:r w:rsidRPr="001A207C">
        <w:rPr>
          <w:i/>
          <w:lang w:val="fr-FR"/>
        </w:rPr>
        <w:t>Rizza</w:t>
      </w:r>
      <w:proofErr w:type="spellEnd"/>
      <w:r w:rsidRPr="001A207C">
        <w:rPr>
          <w:i/>
          <w:lang w:val="fr-FR"/>
        </w:rPr>
        <w:t xml:space="preserve"> c. Itali</w:t>
      </w:r>
      <w:r w:rsidRPr="001A207C">
        <w:rPr>
          <w:lang w:val="fr-FR"/>
        </w:rPr>
        <w:t xml:space="preserve">e, </w:t>
      </w:r>
      <w:r>
        <w:rPr>
          <w:lang w:val="fr-FR"/>
        </w:rPr>
        <w:t>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> 399/02, 13 novembre 2007 </w:t>
      </w:r>
      <w:r w:rsidRPr="001A207C">
        <w:rPr>
          <w:lang w:val="fr-FR"/>
        </w:rPr>
        <w:t xml:space="preserve">; </w:t>
      </w:r>
      <w:proofErr w:type="spellStart"/>
      <w:r w:rsidRPr="001A207C">
        <w:rPr>
          <w:i/>
          <w:lang w:val="fr-FR"/>
        </w:rPr>
        <w:t>Bongiorno</w:t>
      </w:r>
      <w:proofErr w:type="spellEnd"/>
      <w:r w:rsidRPr="001A207C">
        <w:rPr>
          <w:i/>
          <w:lang w:val="fr-FR"/>
        </w:rPr>
        <w:t xml:space="preserve"> et autres c. Italie</w:t>
      </w:r>
      <w:r w:rsidRPr="001A207C">
        <w:rPr>
          <w:lang w:val="fr-FR"/>
        </w:rPr>
        <w:t>, n</w:t>
      </w:r>
      <w:r w:rsidRPr="001A207C">
        <w:rPr>
          <w:vertAlign w:val="superscript"/>
          <w:lang w:val="fr-FR"/>
        </w:rPr>
        <w:t>o</w:t>
      </w:r>
      <w:r w:rsidRPr="001A207C">
        <w:rPr>
          <w:lang w:val="fr-FR"/>
        </w:rPr>
        <w:t xml:space="preserve"> 4514/07, 5 janvier 2010 ; </w:t>
      </w:r>
      <w:r w:rsidRPr="001A207C">
        <w:rPr>
          <w:i/>
          <w:lang w:val="fr-FR"/>
        </w:rPr>
        <w:t>Leone c. Italie</w:t>
      </w:r>
      <w:r w:rsidRPr="001A207C">
        <w:rPr>
          <w:lang w:val="fr-FR"/>
        </w:rPr>
        <w:t>, n</w:t>
      </w:r>
      <w:r w:rsidRPr="001A207C">
        <w:rPr>
          <w:vertAlign w:val="superscript"/>
          <w:lang w:val="fr-FR"/>
        </w:rPr>
        <w:t>o </w:t>
      </w:r>
      <w:hyperlink r:id="rId11" w:anchor="{&quot;appno&quot;:[&quot;30506/07&quot;]}" w:tgtFrame="_blank" w:history="1">
        <w:r w:rsidRPr="001A207C">
          <w:rPr>
            <w:lang w:val="fr-FR"/>
          </w:rPr>
          <w:t>30506/07</w:t>
        </w:r>
      </w:hyperlink>
      <w:r w:rsidRPr="001A207C">
        <w:rPr>
          <w:lang w:val="fr-FR"/>
        </w:rPr>
        <w:t>, 2 février 2010</w:t>
      </w:r>
      <w:r>
        <w:rPr>
          <w:lang w:val="fr-FR"/>
        </w:rPr>
        <w:t> </w:t>
      </w:r>
      <w:r w:rsidRPr="001A207C">
        <w:rPr>
          <w:lang w:val="fr-FR"/>
        </w:rPr>
        <w:t xml:space="preserve">; </w:t>
      </w:r>
      <w:proofErr w:type="spellStart"/>
      <w:r w:rsidRPr="001A207C">
        <w:rPr>
          <w:i/>
          <w:lang w:val="fr-FR"/>
        </w:rPr>
        <w:t>Capitani</w:t>
      </w:r>
      <w:proofErr w:type="spellEnd"/>
      <w:r w:rsidRPr="001A207C">
        <w:rPr>
          <w:i/>
          <w:lang w:val="fr-FR"/>
        </w:rPr>
        <w:t xml:space="preserve"> et Campanella c. Italie</w:t>
      </w:r>
      <w:r w:rsidRPr="001A207C">
        <w:rPr>
          <w:lang w:val="fr-FR"/>
        </w:rPr>
        <w:t>, n</w:t>
      </w:r>
      <w:r w:rsidRPr="001A207C">
        <w:rPr>
          <w:vertAlign w:val="superscript"/>
          <w:lang w:val="fr-FR"/>
        </w:rPr>
        <w:t>o </w:t>
      </w:r>
      <w:hyperlink r:id="rId12" w:anchor="{&quot;appno&quot;:[&quot;24920/07&quot;]}" w:tgtFrame="_blank" w:history="1">
        <w:r w:rsidRPr="001A207C">
          <w:rPr>
            <w:lang w:val="fr-FR"/>
          </w:rPr>
          <w:t>24920/07</w:t>
        </w:r>
      </w:hyperlink>
      <w:r w:rsidRPr="001A207C">
        <w:rPr>
          <w:lang w:val="fr-FR"/>
        </w:rPr>
        <w:t>, 17 mai 2011). Lorsque la Cour a conclu à la violation de l</w:t>
      </w:r>
      <w:r w:rsidR="00ED21B9">
        <w:rPr>
          <w:lang w:val="fr-FR"/>
        </w:rPr>
        <w:t>’</w:t>
      </w:r>
      <w:r w:rsidRPr="001A207C">
        <w:rPr>
          <w:lang w:val="fr-FR"/>
        </w:rPr>
        <w:t>article 6 § 1 de la Convention, elle a considéré que les constats de violation constituaient une satisfaction équitable suffisante pour le préjudice moral subi par les requérants</w:t>
      </w:r>
      <w:r>
        <w:rPr>
          <w:lang w:val="fr-FR"/>
        </w:rPr>
        <w:t xml:space="preserve"> (</w:t>
      </w:r>
      <w:r w:rsidR="006078D3">
        <w:rPr>
          <w:i/>
          <w:lang w:val="fr-FR"/>
        </w:rPr>
        <w:t>Frascati </w:t>
      </w:r>
      <w:r>
        <w:rPr>
          <w:i/>
          <w:lang w:val="fr-FR"/>
        </w:rPr>
        <w:t xml:space="preserve">c. Italie </w:t>
      </w:r>
      <w:r>
        <w:rPr>
          <w:lang w:val="fr-FR"/>
        </w:rPr>
        <w:t>(déc.), n</w:t>
      </w:r>
      <w:r w:rsidR="00D22006" w:rsidRPr="00D22006">
        <w:rPr>
          <w:vertAlign w:val="superscript"/>
          <w:lang w:val="fr-FR"/>
        </w:rPr>
        <w:t>o</w:t>
      </w:r>
      <w:r>
        <w:rPr>
          <w:lang w:val="fr-FR"/>
        </w:rPr>
        <w:t xml:space="preserve"> 5382/08</w:t>
      </w:r>
      <w:r w:rsidRPr="00207EFE">
        <w:rPr>
          <w:lang w:val="fr-FR"/>
        </w:rPr>
        <w:t>,</w:t>
      </w:r>
      <w:r>
        <w:rPr>
          <w:lang w:val="fr-FR"/>
        </w:rPr>
        <w:t xml:space="preserve"> § 20, 13 mai 2014)</w:t>
      </w:r>
      <w:r w:rsidRPr="001A207C">
        <w:rPr>
          <w:lang w:val="fr-FR"/>
        </w:rPr>
        <w:t>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13.  </w:t>
      </w:r>
      <w:r w:rsidRPr="001A207C">
        <w:rPr>
          <w:lang w:val="fr-FR"/>
        </w:rPr>
        <w:t>Eu égard à la nature des concessions que renferme la déclaration du Gouvernement, ainsi qu</w:t>
      </w:r>
      <w:r w:rsidR="00ED21B9">
        <w:rPr>
          <w:lang w:val="fr-FR"/>
        </w:rPr>
        <w:t>’</w:t>
      </w:r>
      <w:r w:rsidRPr="001A207C">
        <w:rPr>
          <w:lang w:val="fr-FR"/>
        </w:rPr>
        <w:t>au montant proposé pour frais et dépens qu</w:t>
      </w:r>
      <w:r w:rsidR="00ED21B9">
        <w:rPr>
          <w:lang w:val="fr-FR"/>
        </w:rPr>
        <w:t>’</w:t>
      </w:r>
      <w:r w:rsidRPr="001A207C">
        <w:rPr>
          <w:lang w:val="fr-FR"/>
        </w:rPr>
        <w:t>elle considère raisonnable, la Cour estime qu</w:t>
      </w:r>
      <w:r w:rsidR="00ED21B9">
        <w:rPr>
          <w:lang w:val="fr-FR"/>
        </w:rPr>
        <w:t>’</w:t>
      </w:r>
      <w:r w:rsidRPr="001A207C">
        <w:rPr>
          <w:lang w:val="fr-FR"/>
        </w:rPr>
        <w:t>il ne se justifie plus de poursuivre l</w:t>
      </w:r>
      <w:r w:rsidR="00ED21B9">
        <w:rPr>
          <w:lang w:val="fr-FR"/>
        </w:rPr>
        <w:t>’</w:t>
      </w:r>
      <w:r w:rsidRPr="001A207C">
        <w:rPr>
          <w:lang w:val="fr-FR"/>
        </w:rPr>
        <w:t>examen de la requête (article 37 § 1 c)</w:t>
      </w:r>
      <w:r w:rsidR="009A4206">
        <w:rPr>
          <w:lang w:val="fr-FR"/>
        </w:rPr>
        <w:t>)</w:t>
      </w:r>
      <w:r>
        <w:rPr>
          <w:lang w:val="fr-FR"/>
        </w:rPr>
        <w:t xml:space="preserve"> – voir également </w:t>
      </w:r>
      <w:r>
        <w:rPr>
          <w:i/>
          <w:lang w:val="fr-FR"/>
        </w:rPr>
        <w:t>Frascati</w:t>
      </w:r>
      <w:r>
        <w:rPr>
          <w:lang w:val="fr-FR"/>
        </w:rPr>
        <w:t>, décision précitée, § 21</w:t>
      </w:r>
      <w:r w:rsidRPr="001A207C">
        <w:rPr>
          <w:lang w:val="fr-FR"/>
        </w:rPr>
        <w:t>)</w:t>
      </w:r>
      <w:r>
        <w:rPr>
          <w:lang w:val="fr-FR"/>
        </w:rPr>
        <w:t>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14.  </w:t>
      </w:r>
      <w:r w:rsidRPr="00207EFE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D21B9">
        <w:rPr>
          <w:lang w:val="fr-FR"/>
        </w:rPr>
        <w:t>’</w:t>
      </w:r>
      <w:r w:rsidRPr="00207EFE">
        <w:rPr>
          <w:lang w:val="fr-FR"/>
        </w:rPr>
        <w:t>homme garantis par la Convention et ses Protocoles n</w:t>
      </w:r>
      <w:r w:rsidR="00ED21B9">
        <w:rPr>
          <w:lang w:val="fr-FR"/>
        </w:rPr>
        <w:t>’</w:t>
      </w:r>
      <w:r w:rsidRPr="00207EFE">
        <w:rPr>
          <w:lang w:val="fr-FR"/>
        </w:rPr>
        <w:t>exige pas qu</w:t>
      </w:r>
      <w:r w:rsidR="00ED21B9">
        <w:rPr>
          <w:lang w:val="fr-FR"/>
        </w:rPr>
        <w:t>’</w:t>
      </w:r>
      <w:r w:rsidRPr="00207EFE">
        <w:rPr>
          <w:lang w:val="fr-FR"/>
        </w:rPr>
        <w:t>elle poursuive l</w:t>
      </w:r>
      <w:r w:rsidR="00ED21B9">
        <w:rPr>
          <w:lang w:val="fr-FR"/>
        </w:rPr>
        <w:t>’</w:t>
      </w:r>
      <w:r w:rsidRPr="00207EFE">
        <w:rPr>
          <w:lang w:val="fr-FR"/>
        </w:rPr>
        <w:t>examen de la requête (article</w:t>
      </w:r>
      <w:r>
        <w:rPr>
          <w:lang w:val="fr-FR"/>
        </w:rPr>
        <w:t> </w:t>
      </w:r>
      <w:r w:rsidRPr="00207EFE">
        <w:rPr>
          <w:lang w:val="fr-FR"/>
        </w:rPr>
        <w:t xml:space="preserve">37 § 1 </w:t>
      </w:r>
      <w:r w:rsidRPr="00207EFE">
        <w:rPr>
          <w:i/>
          <w:iCs/>
          <w:lang w:val="fr-FR"/>
        </w:rPr>
        <w:t>in fine</w:t>
      </w:r>
      <w:r w:rsidRPr="00207EFE">
        <w:rPr>
          <w:lang w:val="fr-FR"/>
        </w:rPr>
        <w:t>).</w:t>
      </w:r>
      <w:r>
        <w:rPr>
          <w:lang w:val="fr-FR"/>
        </w:rPr>
        <w:t xml:space="preserve"> Elle observe également que, après la fin du procès </w:t>
      </w:r>
      <w:r w:rsidRPr="006078D3">
        <w:rPr>
          <w:szCs w:val="24"/>
          <w:lang w:val="fr-FR"/>
        </w:rPr>
        <w:t>des requérantes, p</w:t>
      </w:r>
      <w:r w:rsidRPr="006078D3">
        <w:rPr>
          <w:rStyle w:val="JuQuotChar"/>
          <w:sz w:val="24"/>
          <w:szCs w:val="24"/>
          <w:lang w:val="fr-FR"/>
        </w:rPr>
        <w:t>ar un arrêt n</w:t>
      </w:r>
      <w:r w:rsidR="00D22006" w:rsidRPr="00D22006">
        <w:rPr>
          <w:rStyle w:val="JuQuotChar"/>
          <w:sz w:val="24"/>
          <w:szCs w:val="24"/>
          <w:vertAlign w:val="superscript"/>
          <w:lang w:val="fr-FR"/>
        </w:rPr>
        <w:t>o</w:t>
      </w:r>
      <w:r w:rsidRPr="006078D3">
        <w:rPr>
          <w:rStyle w:val="JuQuotChar"/>
          <w:sz w:val="24"/>
          <w:szCs w:val="24"/>
          <w:lang w:val="fr-FR"/>
        </w:rPr>
        <w:t xml:space="preserve"> 93 du 8 mars 2010, la Cour constitutionnelle a déclaré inconstitutionnelles les dispositions internes pertinentes</w:t>
      </w:r>
      <w:r w:rsidRPr="006078D3">
        <w:rPr>
          <w:szCs w:val="24"/>
          <w:lang w:val="fr-FR"/>
        </w:rPr>
        <w:t xml:space="preserve"> dans la mesure où elles ne permettaient pas aux justiciables de demander la publicité des débats dans le cadre des procédures pour l</w:t>
      </w:r>
      <w:r w:rsidR="00ED21B9">
        <w:rPr>
          <w:szCs w:val="24"/>
          <w:lang w:val="fr-FR"/>
        </w:rPr>
        <w:t>’</w:t>
      </w:r>
      <w:r w:rsidRPr="006078D3">
        <w:rPr>
          <w:szCs w:val="24"/>
          <w:lang w:val="fr-FR"/>
        </w:rPr>
        <w:t>application des mesures de prévention. Cet arrêt</w:t>
      </w:r>
      <w:r>
        <w:rPr>
          <w:lang w:val="fr-FR"/>
        </w:rPr>
        <w:t xml:space="preserve"> de la Cour constitutionnelle </w:t>
      </w:r>
      <w:r w:rsidRPr="001A207C">
        <w:rPr>
          <w:lang w:val="fr-FR"/>
        </w:rPr>
        <w:t xml:space="preserve">rend peu </w:t>
      </w:r>
      <w:r w:rsidRPr="001A207C">
        <w:rPr>
          <w:lang w:val="fr-FR"/>
        </w:rPr>
        <w:lastRenderedPageBreak/>
        <w:t>probable la répétition de cas semblables</w:t>
      </w:r>
      <w:r>
        <w:rPr>
          <w:lang w:val="fr-FR"/>
        </w:rPr>
        <w:t xml:space="preserve"> en futur (</w:t>
      </w:r>
      <w:r>
        <w:rPr>
          <w:i/>
          <w:lang w:val="fr-FR"/>
        </w:rPr>
        <w:t>Frascati</w:t>
      </w:r>
      <w:r>
        <w:rPr>
          <w:lang w:val="fr-FR"/>
        </w:rPr>
        <w:t>, décision précitée, §§ 12 et 22).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15.  </w:t>
      </w:r>
      <w:r w:rsidRPr="00207EFE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ED21B9">
        <w:rPr>
          <w:lang w:val="fr-FR"/>
        </w:rPr>
        <w:t>’</w:t>
      </w:r>
      <w:r w:rsidRPr="00207EFE">
        <w:rPr>
          <w:lang w:val="fr-FR"/>
        </w:rPr>
        <w:t>article 37 § 2 de la Convention (</w:t>
      </w:r>
      <w:proofErr w:type="spellStart"/>
      <w:r w:rsidRPr="00207EFE">
        <w:rPr>
          <w:i/>
          <w:lang w:val="fr-FR"/>
        </w:rPr>
        <w:t>Josipović</w:t>
      </w:r>
      <w:proofErr w:type="spellEnd"/>
      <w:r w:rsidRPr="00207EFE">
        <w:rPr>
          <w:i/>
          <w:lang w:val="fr-FR"/>
        </w:rPr>
        <w:t xml:space="preserve"> c. Serbie</w:t>
      </w:r>
      <w:r w:rsidRPr="00207EFE">
        <w:rPr>
          <w:lang w:val="fr-FR"/>
        </w:rPr>
        <w:t xml:space="preserve"> (déc.), nº 18369/07, 4 mars 2008).</w:t>
      </w:r>
    </w:p>
    <w:p w:rsidR="00501FD7" w:rsidRPr="00207EFE" w:rsidRDefault="00501FD7" w:rsidP="00D36914">
      <w:pPr>
        <w:pStyle w:val="ECHRPara"/>
        <w:rPr>
          <w:lang w:val="fr-FR"/>
        </w:rPr>
      </w:pPr>
      <w:r>
        <w:rPr>
          <w:lang w:val="fr-FR"/>
        </w:rPr>
        <w:t>16.  </w:t>
      </w:r>
      <w:r w:rsidRPr="00207EFE">
        <w:rPr>
          <w:lang w:val="fr-FR"/>
        </w:rPr>
        <w:t>En conséquence, il convient de rayer l</w:t>
      </w:r>
      <w:r w:rsidR="00ED21B9">
        <w:rPr>
          <w:lang w:val="fr-FR"/>
        </w:rPr>
        <w:t>’</w:t>
      </w:r>
      <w:r w:rsidRPr="00207EFE">
        <w:rPr>
          <w:lang w:val="fr-FR"/>
        </w:rPr>
        <w:t>affaire du rôle.</w:t>
      </w:r>
    </w:p>
    <w:p w:rsidR="00501FD7" w:rsidRPr="00207EFE" w:rsidRDefault="00501FD7" w:rsidP="00D36914">
      <w:pPr>
        <w:pStyle w:val="JuParaLast"/>
        <w:rPr>
          <w:lang w:val="fr-FR"/>
        </w:rPr>
      </w:pPr>
      <w:r w:rsidRPr="00207EFE">
        <w:rPr>
          <w:lang w:val="fr-FR"/>
        </w:rPr>
        <w:t>Par ces motifs, la Cour, à l</w:t>
      </w:r>
      <w:r w:rsidR="00ED21B9">
        <w:rPr>
          <w:lang w:val="fr-FR"/>
        </w:rPr>
        <w:t>’</w:t>
      </w:r>
      <w:r w:rsidRPr="00207EFE">
        <w:rPr>
          <w:lang w:val="fr-FR"/>
        </w:rPr>
        <w:t>unanimité,</w:t>
      </w:r>
    </w:p>
    <w:p w:rsidR="00501FD7" w:rsidRPr="00207EFE" w:rsidRDefault="00501FD7" w:rsidP="00ED21B9">
      <w:pPr>
        <w:pStyle w:val="DecList"/>
        <w:rPr>
          <w:i/>
          <w:lang w:val="fr-FR"/>
        </w:rPr>
      </w:pPr>
      <w:r w:rsidRPr="00207EFE">
        <w:rPr>
          <w:i/>
          <w:lang w:val="fr-FR"/>
        </w:rPr>
        <w:t>Prend acte</w:t>
      </w:r>
      <w:r w:rsidRPr="00207EFE">
        <w:rPr>
          <w:lang w:val="fr-FR"/>
        </w:rPr>
        <w:t xml:space="preserve"> des termes de la déclaration du gouvernement défendeur concernant l</w:t>
      </w:r>
      <w:r w:rsidR="00ED21B9">
        <w:rPr>
          <w:lang w:val="fr-FR"/>
        </w:rPr>
        <w:t>’</w:t>
      </w:r>
      <w:r w:rsidRPr="00207EFE">
        <w:rPr>
          <w:lang w:val="fr-FR"/>
        </w:rPr>
        <w:t xml:space="preserve">article </w:t>
      </w:r>
      <w:r>
        <w:rPr>
          <w:lang w:val="fr-FR"/>
        </w:rPr>
        <w:t>6 § 1</w:t>
      </w:r>
      <w:r w:rsidRPr="00207EFE">
        <w:rPr>
          <w:lang w:val="fr-FR"/>
        </w:rPr>
        <w:t xml:space="preserve"> de la Convention et des modalités prévues pour assurer le respect des engagements ainsi pris ;</w:t>
      </w:r>
    </w:p>
    <w:p w:rsidR="00501FD7" w:rsidRPr="00207EFE" w:rsidRDefault="00501FD7" w:rsidP="00ED21B9">
      <w:pPr>
        <w:pStyle w:val="DecList"/>
        <w:rPr>
          <w:lang w:val="fr-FR"/>
        </w:rPr>
      </w:pPr>
      <w:r w:rsidRPr="00207EFE">
        <w:rPr>
          <w:i/>
          <w:lang w:val="fr-FR"/>
        </w:rPr>
        <w:t>Décide</w:t>
      </w:r>
      <w:r w:rsidRPr="00207EFE">
        <w:rPr>
          <w:lang w:val="fr-FR"/>
        </w:rPr>
        <w:t xml:space="preserve"> de rayer la requête du rôle en application de l</w:t>
      </w:r>
      <w:r w:rsidR="00ED21B9">
        <w:rPr>
          <w:lang w:val="fr-FR"/>
        </w:rPr>
        <w:t>’</w:t>
      </w:r>
      <w:r w:rsidRPr="00207EFE">
        <w:rPr>
          <w:lang w:val="fr-FR"/>
        </w:rPr>
        <w:t>article 37 § 1 c) de la Convention.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501FD7">
        <w:rPr>
          <w:szCs w:val="24"/>
          <w:lang w:val="fr-FR"/>
        </w:rPr>
        <w:t>17 septembre 2015</w:t>
      </w:r>
      <w:r w:rsidRPr="0016678F">
        <w:rPr>
          <w:lang w:val="fr-FR"/>
        </w:rPr>
        <w:t>.</w:t>
      </w:r>
    </w:p>
    <w:p w:rsidR="00234E8A" w:rsidRPr="0016678F" w:rsidRDefault="00501FD7" w:rsidP="00ED21B9">
      <w:pPr>
        <w:pStyle w:val="JuSigned"/>
        <w:rPr>
          <w:lang w:val="fr-FR"/>
        </w:rPr>
      </w:pPr>
      <w:r w:rsidRPr="0016678F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16678F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 adjointe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</w:t>
      </w:r>
    </w:p>
    <w:sectPr w:rsidR="00234E8A" w:rsidRPr="0016678F" w:rsidSect="00AF7102">
      <w:headerReference w:type="even" r:id="rId13"/>
      <w:head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D7" w:rsidRDefault="005B34D7" w:rsidP="006544C4">
      <w:r>
        <w:separator/>
      </w:r>
    </w:p>
  </w:endnote>
  <w:endnote w:type="continuationSeparator" w:id="0">
    <w:p w:rsidR="005B34D7" w:rsidRDefault="005B34D7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D7" w:rsidRPr="00150BFA" w:rsidRDefault="00501FD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F13658C" wp14:editId="462B745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B34D7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D7" w:rsidRDefault="005B34D7" w:rsidP="006544C4">
      <w:r>
        <w:separator/>
      </w:r>
    </w:p>
  </w:footnote>
  <w:footnote w:type="continuationSeparator" w:id="0">
    <w:p w:rsidR="005B34D7" w:rsidRDefault="005B34D7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01FD7" w:rsidRDefault="00501FD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01FD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C1BFF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501FD7">
      <w:rPr>
        <w:lang w:val="fr-FR"/>
      </w:rPr>
      <w:tab/>
      <w:t xml:space="preserve">DÉCISION </w:t>
    </w:r>
    <w:r w:rsidRPr="00501FD7">
      <w:rPr>
        <w:lang w:val="fr-FR"/>
      </w:rPr>
      <w:t>CACUCCI ET SABATELLI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01FD7" w:rsidRDefault="00334EC5" w:rsidP="006544C4">
    <w:pPr>
      <w:pStyle w:val="ECHRHeader"/>
      <w:rPr>
        <w:lang w:val="fr-FR"/>
      </w:rPr>
    </w:pPr>
    <w:r>
      <w:tab/>
    </w:r>
    <w:r w:rsidRPr="00501FD7">
      <w:rPr>
        <w:lang w:val="fr-FR"/>
      </w:rPr>
      <w:t xml:space="preserve">DÉCISION </w:t>
    </w:r>
    <w:r w:rsidR="00501FD7" w:rsidRPr="00501FD7">
      <w:rPr>
        <w:lang w:val="fr-FR"/>
      </w:rPr>
      <w:t>CACUCCI ET SABATELLI c. ITALIE</w:t>
    </w:r>
    <w:r w:rsidRPr="00501FD7">
      <w:rPr>
        <w:lang w:val="fr-FR"/>
      </w:rPr>
      <w:tab/>
    </w:r>
    <w:r w:rsidR="00501FD7">
      <w:rPr>
        <w:rStyle w:val="Numeropagina"/>
        <w:lang w:val="en-GB"/>
      </w:rPr>
      <w:fldChar w:fldCharType="begin"/>
    </w:r>
    <w:r w:rsidR="00501FD7" w:rsidRPr="00501FD7">
      <w:rPr>
        <w:rStyle w:val="Numeropagina"/>
        <w:lang w:val="fr-FR"/>
      </w:rPr>
      <w:instrText xml:space="preserve"> PAGE </w:instrText>
    </w:r>
    <w:r w:rsidR="00501FD7">
      <w:rPr>
        <w:rStyle w:val="Numeropagina"/>
        <w:lang w:val="en-GB"/>
      </w:rPr>
      <w:fldChar w:fldCharType="separate"/>
    </w:r>
    <w:r w:rsidR="00EC1BFF">
      <w:rPr>
        <w:rStyle w:val="Numeropagina"/>
        <w:noProof/>
        <w:lang w:val="fr-FR"/>
      </w:rPr>
      <w:t>3</w:t>
    </w:r>
    <w:r w:rsidR="00501FD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D7" w:rsidRPr="00A45145" w:rsidRDefault="00501FD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1F4E481" wp14:editId="3AEF119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5B34D7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501FD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1FD7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34D7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78D3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6F1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4206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2006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1BFF"/>
    <w:rsid w:val="00EC315E"/>
    <w:rsid w:val="00EC78A3"/>
    <w:rsid w:val="00ED077C"/>
    <w:rsid w:val="00ED1190"/>
    <w:rsid w:val="00ED21B9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22006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2200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2200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2200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2200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2200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2200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2200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2200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2200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22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06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2200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2200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D22006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D2200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22006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22006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2200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,Para_Quote"/>
    <w:basedOn w:val="Normale"/>
    <w:link w:val="JuQuotChar"/>
    <w:uiPriority w:val="14"/>
    <w:qFormat/>
    <w:rsid w:val="00D22006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D22006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D22006"/>
  </w:style>
  <w:style w:type="paragraph" w:customStyle="1" w:styleId="JuParaSub">
    <w:name w:val="Ju_Para_Sub"/>
    <w:basedOn w:val="ECHRPara"/>
    <w:uiPriority w:val="13"/>
    <w:qFormat/>
    <w:rsid w:val="00D22006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D22006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2200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D2200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D22006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2200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D22006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2200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2200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D22006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D22006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D2200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D22006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22006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2200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2200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2200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2200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22006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2200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2200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2200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2200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2200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22006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22006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22006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22006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2200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2200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22006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JuITMark">
    <w:name w:val="Ju_ITMark"/>
    <w:basedOn w:val="Carpredefinitoparagrafo"/>
    <w:uiPriority w:val="38"/>
    <w:qFormat/>
    <w:rsid w:val="00D22006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D22006"/>
    <w:pPr>
      <w:jc w:val="center"/>
      <w:outlineLvl w:val="0"/>
    </w:pPr>
    <w:rPr>
      <w:i/>
    </w:rPr>
  </w:style>
  <w:style w:type="character" w:styleId="Enfasidelicata">
    <w:name w:val="Subtle Emphasis"/>
    <w:uiPriority w:val="99"/>
    <w:semiHidden/>
    <w:qFormat/>
    <w:rsid w:val="00D22006"/>
    <w:rPr>
      <w:i/>
      <w:iCs/>
    </w:rPr>
  </w:style>
  <w:style w:type="paragraph" w:customStyle="1" w:styleId="JuCourt">
    <w:name w:val="Ju_Court"/>
    <w:basedOn w:val="Normale"/>
    <w:next w:val="Normale"/>
    <w:uiPriority w:val="16"/>
    <w:qFormat/>
    <w:rsid w:val="00D2200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D22006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22006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2200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D220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2200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22006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2200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20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006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2200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2200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2200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2200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D2200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2200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2200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2200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2200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2200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2200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2200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22006"/>
    <w:rPr>
      <w:smallCaps/>
    </w:rPr>
  </w:style>
  <w:style w:type="table" w:styleId="Grigliatabella">
    <w:name w:val="Table Grid"/>
    <w:basedOn w:val="Tabellanormale"/>
    <w:uiPriority w:val="59"/>
    <w:semiHidden/>
    <w:rsid w:val="00D220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22006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D22006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D22006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D22006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D22006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D22006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22006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D22006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D22006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2200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D2200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2200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2200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2200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2200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22006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D22006"/>
    <w:pPr>
      <w:ind w:left="833" w:hanging="357"/>
      <w:outlineLvl w:val="3"/>
    </w:pPr>
    <w:rPr>
      <w:b/>
      <w:i w:val="0"/>
      <w:sz w:val="20"/>
    </w:rPr>
  </w:style>
  <w:style w:type="character" w:customStyle="1" w:styleId="JuQuotChar">
    <w:name w:val="Ju_Quot Char"/>
    <w:basedOn w:val="Carpredefinitoparagrafo"/>
    <w:link w:val="ECHRParaQuote"/>
    <w:uiPriority w:val="14"/>
    <w:rsid w:val="00501FD7"/>
    <w:rPr>
      <w:rFonts w:eastAsiaTheme="minorEastAsia"/>
      <w:sz w:val="20"/>
    </w:rPr>
  </w:style>
  <w:style w:type="paragraph" w:customStyle="1" w:styleId="OpiHi">
    <w:name w:val="Opi_H_i"/>
    <w:basedOn w:val="ECHRHeading4"/>
    <w:uiPriority w:val="44"/>
    <w:semiHidden/>
    <w:qFormat/>
    <w:rsid w:val="00D22006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22006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udoc.echr.coe.int/sites/eng/Pages/search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1010-90BC-47A7-9D5E-159D0C65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47EA1-5106-4B70-9D79-BB424767C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BCB6B-423D-4FCB-8833-39B8B28AF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513BE-4F13-4A57-B13B-B510681D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2015-10-22T15:05:00Z</dcterms:created>
  <dcterms:modified xsi:type="dcterms:W3CDTF">2015-10-22T15:05:00Z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29797/09</vt:lpwstr>
  </property>
  <property fmtid="{D5CDD505-2E9C-101B-9397-08002B2CF9AE}" pid="4" name="CASEID">
    <vt:lpwstr>575986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